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3733B" w14:textId="69FC857F"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Ce indicatori de politică a remunerării trebuie urmăriți în cadrul unei companii?</w:t>
      </w:r>
    </w:p>
    <w:p w14:paraId="2A088503" w14:textId="77777777" w:rsidR="00957975" w:rsidRPr="00957975" w:rsidRDefault="00957975" w:rsidP="00957975">
      <w:pPr>
        <w:pStyle w:val="Body"/>
        <w:spacing w:line="360" w:lineRule="auto"/>
        <w:rPr>
          <w:rFonts w:ascii="Times New Roman" w:hAnsi="Times New Roman" w:cs="Times New Roman"/>
          <w:sz w:val="24"/>
          <w:szCs w:val="24"/>
          <w:lang w:val="ro-RO"/>
        </w:rPr>
      </w:pPr>
    </w:p>
    <w:p w14:paraId="23E3911E" w14:textId="77777777" w:rsidR="00957975" w:rsidRPr="00957975" w:rsidRDefault="00957975" w:rsidP="00957975">
      <w:pPr>
        <w:pStyle w:val="Body"/>
        <w:spacing w:line="360" w:lineRule="auto"/>
        <w:rPr>
          <w:rFonts w:ascii="Times New Roman" w:hAnsi="Times New Roman" w:cs="Times New Roman"/>
          <w:sz w:val="24"/>
          <w:szCs w:val="24"/>
          <w:lang w:val="ro-RO"/>
        </w:rPr>
      </w:pPr>
    </w:p>
    <w:p w14:paraId="6C42FB3F"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Politica de remunerare este o componentă importantă a politicii globale a întreprinderii și are mai multe funcții, printre care:</w:t>
      </w:r>
    </w:p>
    <w:p w14:paraId="60AD8770"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adecvarea remunerării de bază la volumul de muncă cerut de la salariați ;</w:t>
      </w:r>
    </w:p>
    <w:p w14:paraId="7C31AEB9"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corelarea remunerării globale cu efortul depus și /sau rezultatele obținute de salariați ;</w:t>
      </w:r>
    </w:p>
    <w:p w14:paraId="1908E3A6"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asigurarea unei echități între remunerarea factorilor de producție (între muncă și capital) ;</w:t>
      </w:r>
    </w:p>
    <w:p w14:paraId="05121546"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asigurarea echității în raport cu alte întreprinderi din sectorul de activitate;</w:t>
      </w:r>
    </w:p>
    <w:p w14:paraId="21C6DA3A"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motivarea salariaților și creșterea productivității ;</w:t>
      </w:r>
    </w:p>
    <w:p w14:paraId="64AE9499"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integrarea salariaților și asigurarea fidelității acestora;</w:t>
      </w:r>
    </w:p>
    <w:p w14:paraId="18878DE5"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asigurarea unui nivel de trai corespunzător ;</w:t>
      </w:r>
    </w:p>
    <w:p w14:paraId="235B5BA4"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asigurarea unei etici organizationale;</w:t>
      </w:r>
    </w:p>
    <w:p w14:paraId="02D76711"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asigurarea egalității profesionale intre bărbați și femei ;</w:t>
      </w:r>
    </w:p>
    <w:p w14:paraId="1C99AB67"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asigurarea transparenței remunerării și a vizibilității pentru fiecare salariat în parte (fiecare salariat trebuie să cunoască cum este calculat și din ce este compus salariul său) ;</w:t>
      </w:r>
    </w:p>
    <w:p w14:paraId="4E51590C"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compensarea daunelor aduse salariatului în cazul condițiilor grele de muncă ;</w:t>
      </w:r>
    </w:p>
    <w:p w14:paraId="21D20EE8" w14:textId="77777777" w:rsidR="00957975" w:rsidRPr="00957975" w:rsidRDefault="00957975" w:rsidP="00957975">
      <w:pPr>
        <w:pStyle w:val="Body"/>
        <w:spacing w:line="360" w:lineRule="auto"/>
        <w:rPr>
          <w:rFonts w:ascii="Times New Roman" w:hAnsi="Times New Roman" w:cs="Times New Roman"/>
          <w:sz w:val="24"/>
          <w:szCs w:val="24"/>
          <w:lang w:val="ro-RO"/>
        </w:rPr>
      </w:pPr>
    </w:p>
    <w:p w14:paraId="1292A331"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Gradul de deschidere a directorilor când vine vorba de discuții pe marginea politicii salariale variază foarte mult de la o întreprindere la alta. Chiar și așa, unele dintre aceste elemente ale politicii salariale pot fi sugerate prin analiza datelor financiare ale companiei și a structurii salariilor.</w:t>
      </w:r>
    </w:p>
    <w:p w14:paraId="1E8B382A" w14:textId="77777777" w:rsidR="00957975" w:rsidRPr="00957975" w:rsidRDefault="00957975" w:rsidP="00957975">
      <w:pPr>
        <w:pStyle w:val="Body"/>
        <w:spacing w:line="360" w:lineRule="auto"/>
        <w:rPr>
          <w:rFonts w:ascii="Times New Roman" w:hAnsi="Times New Roman" w:cs="Times New Roman"/>
          <w:sz w:val="24"/>
          <w:szCs w:val="24"/>
          <w:lang w:val="ro-RO"/>
        </w:rPr>
      </w:pPr>
    </w:p>
    <w:p w14:paraId="5DF660EC"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O analiză a politicii de remunerare a companiei oferă reprezentanților salariaților o viziune globală asupra adecvării acesteia față de realitățile economice. De asemenea, această analiză poate oferi indicații asupra variabilelor care pot fi negociate cu angajatorul.</w:t>
      </w:r>
    </w:p>
    <w:p w14:paraId="4FF12A61" w14:textId="77777777" w:rsidR="00957975" w:rsidRPr="00957975" w:rsidRDefault="00957975" w:rsidP="00957975">
      <w:pPr>
        <w:pStyle w:val="Body"/>
        <w:spacing w:line="360" w:lineRule="auto"/>
        <w:rPr>
          <w:rFonts w:ascii="Times New Roman" w:hAnsi="Times New Roman" w:cs="Times New Roman"/>
          <w:sz w:val="24"/>
          <w:szCs w:val="24"/>
          <w:lang w:val="ro-RO"/>
        </w:rPr>
      </w:pPr>
    </w:p>
    <w:p w14:paraId="71F3B39C"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ANALIZA SALARIILOR trebuie să pornească de la analiza structurii acestora. Remunerarea este compusă din totalitatea recompenselor directe și indirecte, precum și a altor avantaje acordate pentru activitatea salariaților în cadrul întreprinderii.</w:t>
      </w:r>
    </w:p>
    <w:p w14:paraId="2D3E68DA" w14:textId="77777777" w:rsidR="00957975" w:rsidRPr="00957975" w:rsidRDefault="00957975" w:rsidP="00957975">
      <w:pPr>
        <w:pStyle w:val="Body"/>
        <w:spacing w:line="360" w:lineRule="auto"/>
        <w:rPr>
          <w:rFonts w:ascii="Times New Roman" w:hAnsi="Times New Roman" w:cs="Times New Roman"/>
          <w:sz w:val="24"/>
          <w:szCs w:val="24"/>
          <w:lang w:val="ro-RO"/>
        </w:rPr>
      </w:pPr>
    </w:p>
    <w:p w14:paraId="4E492C5D"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lastRenderedPageBreak/>
        <w:t>SALARIUL BRUT este suma care se cuvine lunar unui salariat, calculată conform sistemului de salarizare, din care se vor deduce impozitele pe salariu și alte retineri la salariat efectuate conform legii.</w:t>
      </w:r>
    </w:p>
    <w:p w14:paraId="6837DC53"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În România, salariul brut cuprinde:</w:t>
      </w:r>
    </w:p>
    <w:p w14:paraId="420C559C"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salariul de bază;</w:t>
      </w:r>
    </w:p>
    <w:p w14:paraId="6E3D2C5E"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sporurile;</w:t>
      </w:r>
    </w:p>
    <w:p w14:paraId="3BDC052A"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indemnizațiile;</w:t>
      </w:r>
    </w:p>
    <w:p w14:paraId="02BEEF35"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alte sume plătite din fondul de salarii ;</w:t>
      </w:r>
    </w:p>
    <w:p w14:paraId="71EB7AA6"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primele anuale;</w:t>
      </w:r>
    </w:p>
    <w:p w14:paraId="71CD2D90"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drepturi în natură ;</w:t>
      </w:r>
    </w:p>
    <w:p w14:paraId="6759D66F"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alte adaosuri la salarii.</w:t>
      </w:r>
    </w:p>
    <w:p w14:paraId="7C845A87" w14:textId="77777777" w:rsidR="00957975" w:rsidRPr="00957975" w:rsidRDefault="00957975" w:rsidP="00957975">
      <w:pPr>
        <w:pStyle w:val="Body"/>
        <w:spacing w:line="360" w:lineRule="auto"/>
        <w:rPr>
          <w:rFonts w:ascii="Times New Roman" w:hAnsi="Times New Roman" w:cs="Times New Roman"/>
          <w:sz w:val="24"/>
          <w:szCs w:val="24"/>
          <w:lang w:val="ro-RO"/>
        </w:rPr>
      </w:pPr>
    </w:p>
    <w:p w14:paraId="7C91F70F"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SALARIUL NET este suma pe care o primește efectiv salariatul, după reținerea impozitelor și a altor plăți la stat.</w:t>
      </w:r>
    </w:p>
    <w:p w14:paraId="06BFEAC5"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O analiză pertinentă trebuie să includă indicatori reprezentativi pentru anumite categorii de salariați, cum ar fi salariile medii, salariile mediane și mediile ponderate ale salariilor. Acești indicatori trebuie să fie comunicați de companie, iar o bună înțelegere a lor facilitează discuțiile din cadrul negocierilor colective.</w:t>
      </w:r>
    </w:p>
    <w:p w14:paraId="0B9E45D6" w14:textId="77777777" w:rsidR="00957975" w:rsidRPr="00957975" w:rsidRDefault="00957975" w:rsidP="00957975">
      <w:pPr>
        <w:pStyle w:val="Body"/>
        <w:spacing w:line="360" w:lineRule="auto"/>
        <w:rPr>
          <w:rFonts w:ascii="Times New Roman" w:hAnsi="Times New Roman" w:cs="Times New Roman"/>
          <w:sz w:val="24"/>
          <w:szCs w:val="24"/>
          <w:lang w:val="ro-RO"/>
        </w:rPr>
      </w:pPr>
    </w:p>
    <w:p w14:paraId="51E9D40B"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În analiza salariilor, reprezentanții salariaților trebuie să identifice PARTEA FIXĂ (salariul de bază) și PARTEA VARIABILĂ (sporuri, prime, etc) a salariilor. În acest sens, este important să se înțeleagă dacă partea variabilă a salariilor este un factor de motivare sau un factor de motivare sau un factor de vulnerabilitate pentru salariați. În cazul în care salariul de bază permite salariatului să - și acopere necesitățile vitale și ii asigură o anumită putere de economisire, partea variabilă poate fi văzută ca un stimul suplimentar pentru creșterea productivității. Însă, în cazul în care partea fixă nu acoperă necesitățile vitale ale salariatului, acesta având neapărat nevoie și de partea variabilă pentru a-și acoperi costurile recurente, partea variabilă a salariilor este mai degrabă un factor de vulnerabilitate decât un factor de motivare pentru salariat.</w:t>
      </w:r>
    </w:p>
    <w:p w14:paraId="127897C5" w14:textId="77777777" w:rsidR="00957975" w:rsidRPr="00957975" w:rsidRDefault="00957975" w:rsidP="00957975">
      <w:pPr>
        <w:pStyle w:val="Body"/>
        <w:spacing w:line="360" w:lineRule="auto"/>
        <w:rPr>
          <w:rFonts w:ascii="Times New Roman" w:hAnsi="Times New Roman" w:cs="Times New Roman"/>
          <w:sz w:val="24"/>
          <w:szCs w:val="24"/>
          <w:lang w:val="ro-RO"/>
        </w:rPr>
      </w:pPr>
    </w:p>
    <w:p w14:paraId="37631804"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De asemenea, este important să se urmărească cât de des întreprinderea redefinește criteriile în baza cărora se calculează partea variabilă a salariilor. Dacă acest lucru se întâmplă prea frecvent, putem avea de-a face cu o politică de remunerare foarte flexibilă din partea angajatorilor, care poate avea efecte negative asupra salariaților. Retragerea sau diminuarea părții variabile mult mai facilă pentru angajator decât în cazul salariului de bază, precum și variațiile de la o perioadă la alta îl poate pune pe salariat în situația de a nu se poate întreține.</w:t>
      </w:r>
    </w:p>
    <w:p w14:paraId="6F9D14D0"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lastRenderedPageBreak/>
        <w:t>De multe ori, managementul întreprinderilor este mai deschis sa poarte negocieri asupra părții variabile a salariilor, având drept scop stimularea și cointeresarea salariaților.</w:t>
      </w:r>
    </w:p>
    <w:p w14:paraId="783454B6" w14:textId="77777777" w:rsidR="00957975" w:rsidRPr="00957975" w:rsidRDefault="00957975" w:rsidP="00957975">
      <w:pPr>
        <w:pStyle w:val="Body"/>
        <w:spacing w:line="360" w:lineRule="auto"/>
        <w:rPr>
          <w:rFonts w:ascii="Times New Roman" w:hAnsi="Times New Roman" w:cs="Times New Roman"/>
          <w:sz w:val="24"/>
          <w:szCs w:val="24"/>
          <w:lang w:val="ro-RO"/>
        </w:rPr>
      </w:pPr>
    </w:p>
    <w:p w14:paraId="0AA2D2B7"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Elementele care se pot negocia în acest sens sunt:</w:t>
      </w:r>
    </w:p>
    <w:p w14:paraId="237A6F0E"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prime de productivitate;</w:t>
      </w:r>
    </w:p>
    <w:p w14:paraId="2B0324E2"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prime de condiții de muncă ;</w:t>
      </w:r>
    </w:p>
    <w:p w14:paraId="32AABFCE"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opțiuni de cumpărare a acțiunilor firmei;</w:t>
      </w:r>
    </w:p>
    <w:p w14:paraId="5B8D032C"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participarea salariaților la rezultatele întreprinderii ;</w:t>
      </w:r>
    </w:p>
    <w:p w14:paraId="4BBF97CF"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remunerare indirectă, prin avantaje suplimentare, precum:</w:t>
      </w:r>
    </w:p>
    <w:p w14:paraId="102FBE76"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asigurare de viață ;</w:t>
      </w:r>
    </w:p>
    <w:p w14:paraId="12AA7BAD"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asigurarea de sănătate;</w:t>
      </w:r>
    </w:p>
    <w:p w14:paraId="31576847"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sisteme de pensii private;</w:t>
      </w:r>
    </w:p>
    <w:p w14:paraId="014829C3"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pensii pentru vechime în muncă ;</w:t>
      </w:r>
    </w:p>
    <w:p w14:paraId="4876D9A2"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protecția muncii;</w:t>
      </w:r>
    </w:p>
    <w:p w14:paraId="1287F3BF"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formare profesională ;</w:t>
      </w:r>
    </w:p>
    <w:p w14:paraId="049EA7CE"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mese subvenționate;</w:t>
      </w:r>
    </w:p>
    <w:p w14:paraId="55982CE7"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tichete de masă ;</w:t>
      </w:r>
    </w:p>
    <w:p w14:paraId="49FF740E"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transport;</w:t>
      </w:r>
    </w:p>
    <w:p w14:paraId="68142AA1"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tehnică de calcul ;</w:t>
      </w:r>
    </w:p>
    <w:p w14:paraId="68B451C1"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acoperirea costurilor cu telefonia mobilă ;</w:t>
      </w:r>
    </w:p>
    <w:p w14:paraId="68B14F33"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consultații ;</w:t>
      </w:r>
    </w:p>
    <w:p w14:paraId="75383B8E"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vacanțe ;</w:t>
      </w:r>
    </w:p>
    <w:p w14:paraId="0951A33C"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activități culturale și sportive;</w:t>
      </w:r>
    </w:p>
    <w:p w14:paraId="1BEFF6F6"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 produse sau servicii gratuite din partea firmei sau reduce i la acestea.</w:t>
      </w:r>
    </w:p>
    <w:p w14:paraId="5FE1FDC1"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ANALIZA structurii remunerării, a ponderii fiecărui element și a variației elementelor de la un an la altul poate permite o apreciere critică a politicii de renumerare a întreprinderii pe mai multe criterii:</w:t>
      </w:r>
    </w:p>
    <w:p w14:paraId="7BD0AC67" w14:textId="77777777" w:rsidR="00957975" w:rsidRPr="00957975" w:rsidRDefault="00957975" w:rsidP="00957975">
      <w:pPr>
        <w:pStyle w:val="Body"/>
        <w:spacing w:line="360" w:lineRule="auto"/>
        <w:rPr>
          <w:rFonts w:ascii="Times New Roman" w:hAnsi="Times New Roman" w:cs="Times New Roman"/>
          <w:sz w:val="24"/>
          <w:szCs w:val="24"/>
          <w:lang w:val="ro-RO"/>
        </w:rPr>
      </w:pPr>
    </w:p>
    <w:p w14:paraId="0F72DCB6"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1-</w:t>
      </w:r>
      <w:r w:rsidRPr="00957975">
        <w:rPr>
          <w:rFonts w:ascii="Times New Roman" w:hAnsi="Times New Roman" w:cs="Times New Roman"/>
          <w:sz w:val="24"/>
          <w:szCs w:val="24"/>
          <w:lang w:val="ro-RO"/>
        </w:rPr>
        <w:tab/>
        <w:t>competitivitatea - cum se poziționează salariile oferite de întreprindere în raport cu alte companii din sectorul de activitate, din țară și din Europa. Acest criteriu permite aprecierea capacității companiei de a atrage noi salariați și de a-și menține forța de muncă calificată ;</w:t>
      </w:r>
    </w:p>
    <w:p w14:paraId="4489FE2B"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2-</w:t>
      </w:r>
      <w:r w:rsidRPr="00957975">
        <w:rPr>
          <w:rFonts w:ascii="Times New Roman" w:hAnsi="Times New Roman" w:cs="Times New Roman"/>
          <w:sz w:val="24"/>
          <w:szCs w:val="24"/>
          <w:lang w:val="ro-RO"/>
        </w:rPr>
        <w:tab/>
        <w:t>echitatea internă - cât de bine sunt corelate salariile între diferite funcții. Existența grilelor de salarizare ar putea asigura echitatea internă între salariați ;</w:t>
      </w:r>
    </w:p>
    <w:p w14:paraId="7CE89F78"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3-</w:t>
      </w:r>
      <w:r w:rsidRPr="00957975">
        <w:rPr>
          <w:rFonts w:ascii="Times New Roman" w:hAnsi="Times New Roman" w:cs="Times New Roman"/>
          <w:sz w:val="24"/>
          <w:szCs w:val="24"/>
          <w:lang w:val="ro-RO"/>
        </w:rPr>
        <w:tab/>
        <w:t>corelarea cu performanța - cât de bine este asigurată echitatea salarială internă. În acest sens, este important să se țină cont de evoluția indicatorilor de productivitate;</w:t>
      </w:r>
    </w:p>
    <w:p w14:paraId="033AB55C"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lastRenderedPageBreak/>
        <w:t>4-</w:t>
      </w:r>
      <w:r w:rsidRPr="00957975">
        <w:rPr>
          <w:rFonts w:ascii="Times New Roman" w:hAnsi="Times New Roman" w:cs="Times New Roman"/>
          <w:sz w:val="24"/>
          <w:szCs w:val="24"/>
          <w:lang w:val="ro-RO"/>
        </w:rPr>
        <w:tab/>
        <w:t>responsabilitate socială - corelarea evoluției salariilor cu evoluția puterii de cumpărare a salariaților. În acest sens, este importantă luarea în calcul a inflației și a altor factori care pot influența puterea de cumpărare și de economisire a salariatilor;</w:t>
      </w:r>
    </w:p>
    <w:p w14:paraId="7E4C3A26"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5-</w:t>
      </w:r>
      <w:r w:rsidRPr="00957975">
        <w:rPr>
          <w:rFonts w:ascii="Times New Roman" w:hAnsi="Times New Roman" w:cs="Times New Roman"/>
          <w:sz w:val="24"/>
          <w:szCs w:val="24"/>
          <w:lang w:val="ro-RO"/>
        </w:rPr>
        <w:tab/>
        <w:t>egalitatea profesională - egalitatea remunerării femeilor și bărbaților care dețin aceleași posturi;</w:t>
      </w:r>
    </w:p>
    <w:p w14:paraId="4D5FB8B2"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6-</w:t>
      </w:r>
      <w:r w:rsidRPr="00957975">
        <w:rPr>
          <w:rFonts w:ascii="Times New Roman" w:hAnsi="Times New Roman" w:cs="Times New Roman"/>
          <w:sz w:val="24"/>
          <w:szCs w:val="24"/>
          <w:lang w:val="ro-RO"/>
        </w:rPr>
        <w:tab/>
        <w:t>stabilitatea și motivarea - cât de transparente și coerente sunt criteriile de performanță utilizate în evaluarea salariaților. O bună vizibilitate a structurii salariale poate ridica gradul de implicare a salariaților în viața întreprinderii;</w:t>
      </w:r>
    </w:p>
    <w:p w14:paraId="6C3D5D01" w14:textId="77777777" w:rsidR="00957975" w:rsidRPr="00957975" w:rsidRDefault="00957975" w:rsidP="00957975">
      <w:pPr>
        <w:pStyle w:val="Body"/>
        <w:spacing w:line="360" w:lineRule="auto"/>
        <w:rPr>
          <w:rFonts w:ascii="Times New Roman" w:hAnsi="Times New Roman" w:cs="Times New Roman"/>
          <w:sz w:val="24"/>
          <w:szCs w:val="24"/>
          <w:lang w:val="ro-RO"/>
        </w:rPr>
      </w:pPr>
      <w:r w:rsidRPr="00957975">
        <w:rPr>
          <w:rFonts w:ascii="Times New Roman" w:hAnsi="Times New Roman" w:cs="Times New Roman"/>
          <w:sz w:val="24"/>
          <w:szCs w:val="24"/>
          <w:lang w:val="ro-RO"/>
        </w:rPr>
        <w:t>7-</w:t>
      </w:r>
      <w:r w:rsidRPr="00957975">
        <w:rPr>
          <w:rFonts w:ascii="Times New Roman" w:hAnsi="Times New Roman" w:cs="Times New Roman"/>
          <w:sz w:val="24"/>
          <w:szCs w:val="24"/>
          <w:lang w:val="ro-RO"/>
        </w:rPr>
        <w:tab/>
        <w:t>eficiența economică - corelarea sistemului de recompense cu rezultatele economice ale întreprinderii.</w:t>
      </w:r>
    </w:p>
    <w:p w14:paraId="0925CF20" w14:textId="77777777" w:rsidR="00957975" w:rsidRPr="00957975" w:rsidRDefault="00957975" w:rsidP="00957975">
      <w:pPr>
        <w:pStyle w:val="Body"/>
        <w:spacing w:line="360" w:lineRule="auto"/>
        <w:rPr>
          <w:rFonts w:ascii="Times New Roman" w:hAnsi="Times New Roman" w:cs="Times New Roman"/>
          <w:sz w:val="24"/>
          <w:szCs w:val="24"/>
          <w:lang w:val="ro-RO"/>
        </w:rPr>
      </w:pPr>
    </w:p>
    <w:p w14:paraId="0A87B780" w14:textId="77777777" w:rsidR="00957975" w:rsidRPr="00957975" w:rsidRDefault="00957975" w:rsidP="00957975">
      <w:pPr>
        <w:pStyle w:val="Body"/>
        <w:spacing w:line="360" w:lineRule="auto"/>
        <w:rPr>
          <w:rFonts w:ascii="Times New Roman" w:hAnsi="Times New Roman" w:cs="Times New Roman"/>
          <w:sz w:val="24"/>
          <w:szCs w:val="24"/>
          <w:lang w:val="ro-RO"/>
        </w:rPr>
      </w:pPr>
    </w:p>
    <w:p w14:paraId="139757CF" w14:textId="77777777" w:rsidR="00957975" w:rsidRPr="00957975" w:rsidRDefault="00957975" w:rsidP="00957975">
      <w:pPr>
        <w:pStyle w:val="Body"/>
        <w:spacing w:line="360" w:lineRule="auto"/>
        <w:rPr>
          <w:rFonts w:ascii="Times New Roman" w:hAnsi="Times New Roman" w:cs="Times New Roman"/>
          <w:sz w:val="24"/>
          <w:szCs w:val="24"/>
          <w:lang w:val="ro-RO"/>
        </w:rPr>
      </w:pPr>
    </w:p>
    <w:p w14:paraId="232D24C9" w14:textId="179A4E8D" w:rsidR="00E96804" w:rsidRPr="00957975" w:rsidRDefault="002B4247" w:rsidP="003933AB">
      <w:pPr>
        <w:pStyle w:val="Body"/>
        <w:spacing w:line="360" w:lineRule="auto"/>
        <w:rPr>
          <w:rFonts w:ascii="Times New Roman" w:hAnsi="Times New Roman" w:cs="Times New Roman"/>
          <w:sz w:val="24"/>
          <w:szCs w:val="24"/>
          <w:lang w:val="ro-RO"/>
        </w:rPr>
      </w:pPr>
      <w:r w:rsidRPr="002B4247">
        <w:rPr>
          <w:rFonts w:ascii="Times New Roman" w:hAnsi="Times New Roman" w:cs="Times New Roman"/>
          <w:sz w:val="24"/>
          <w:szCs w:val="24"/>
          <w:lang w:val="ro-RO"/>
        </w:rPr>
        <w:t>Farm. Delia Serban</w:t>
      </w:r>
      <w:r w:rsidR="008D57EF">
        <w:rPr>
          <w:rFonts w:ascii="Times New Roman" w:hAnsi="Times New Roman" w:cs="Times New Roman"/>
          <w:sz w:val="24"/>
          <w:szCs w:val="24"/>
          <w:lang w:val="ro-RO"/>
        </w:rPr>
        <w:t xml:space="preserve"> </w:t>
      </w:r>
      <w:r w:rsidRPr="002B4247">
        <w:rPr>
          <w:rFonts w:ascii="Times New Roman" w:hAnsi="Times New Roman" w:cs="Times New Roman"/>
          <w:sz w:val="24"/>
          <w:szCs w:val="24"/>
          <w:lang w:val="ro-RO"/>
        </w:rPr>
        <w:t>- Presedinte SNFR</w:t>
      </w:r>
    </w:p>
    <w:p w14:paraId="15E9049F" w14:textId="77777777" w:rsidR="003933AB" w:rsidRPr="00957975" w:rsidRDefault="003933AB" w:rsidP="003933AB">
      <w:pPr>
        <w:pStyle w:val="Body"/>
        <w:spacing w:line="360" w:lineRule="auto"/>
        <w:rPr>
          <w:rFonts w:ascii="Times New Roman" w:hAnsi="Times New Roman" w:cs="Times New Roman"/>
          <w:sz w:val="24"/>
          <w:szCs w:val="24"/>
          <w:lang w:val="ro-RO"/>
        </w:rPr>
      </w:pPr>
    </w:p>
    <w:p w14:paraId="2762F3D2" w14:textId="77777777" w:rsidR="001009DC" w:rsidRPr="00957975" w:rsidRDefault="001009DC" w:rsidP="00994504">
      <w:pPr>
        <w:pStyle w:val="Body"/>
        <w:spacing w:line="360" w:lineRule="auto"/>
        <w:rPr>
          <w:rFonts w:ascii="Times New Roman" w:hAnsi="Times New Roman" w:cs="Times New Roman"/>
          <w:sz w:val="24"/>
          <w:szCs w:val="24"/>
          <w:lang w:val="ro-RO"/>
        </w:rPr>
      </w:pPr>
    </w:p>
    <w:sectPr w:rsidR="001009DC" w:rsidRPr="00957975" w:rsidSect="007E3F5D">
      <w:headerReference w:type="first" r:id="rId7"/>
      <w:pgSz w:w="11906" w:h="16838"/>
      <w:pgMar w:top="1134" w:right="1134" w:bottom="1134"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2106A" w14:textId="77777777" w:rsidR="00E870C6" w:rsidRDefault="00E870C6" w:rsidP="00397A61">
      <w:r>
        <w:separator/>
      </w:r>
    </w:p>
  </w:endnote>
  <w:endnote w:type="continuationSeparator" w:id="0">
    <w:p w14:paraId="69F6E4DA" w14:textId="77777777" w:rsidR="00E870C6" w:rsidRDefault="00E870C6" w:rsidP="0039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0660B" w14:textId="77777777" w:rsidR="00E870C6" w:rsidRDefault="00E870C6" w:rsidP="00397A61">
      <w:r>
        <w:separator/>
      </w:r>
    </w:p>
  </w:footnote>
  <w:footnote w:type="continuationSeparator" w:id="0">
    <w:p w14:paraId="76AD311A" w14:textId="77777777" w:rsidR="00E870C6" w:rsidRDefault="00E870C6" w:rsidP="00397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10658" w14:textId="41EC8947" w:rsidR="007E3F5D" w:rsidRDefault="00672E53">
    <w:pPr>
      <w:pStyle w:val="Header"/>
    </w:pPr>
    <w:r>
      <w:rPr>
        <w:noProof/>
      </w:rPr>
      <w:drawing>
        <wp:anchor distT="0" distB="0" distL="114300" distR="114300" simplePos="0" relativeHeight="251660288" behindDoc="1" locked="0" layoutInCell="1" allowOverlap="1" wp14:anchorId="69FBF274" wp14:editId="308A6D93">
          <wp:simplePos x="0" y="0"/>
          <wp:positionH relativeFrom="page">
            <wp:posOffset>0</wp:posOffset>
          </wp:positionH>
          <wp:positionV relativeFrom="page">
            <wp:posOffset>3060700</wp:posOffset>
          </wp:positionV>
          <wp:extent cx="7556040" cy="4451400"/>
          <wp:effectExtent l="0" t="0" r="0" b="0"/>
          <wp:wrapNone/>
          <wp:docPr id="5042571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57167" name="Picture 504257167"/>
                  <pic:cNvPicPr/>
                </pic:nvPicPr>
                <pic:blipFill>
                  <a:blip r:embed="rId1">
                    <a:extLst>
                      <a:ext uri="{28A0092B-C50C-407E-A947-70E740481C1C}">
                        <a14:useLocalDpi xmlns:a14="http://schemas.microsoft.com/office/drawing/2010/main" val="0"/>
                      </a:ext>
                    </a:extLst>
                  </a:blip>
                  <a:stretch>
                    <a:fillRect/>
                  </a:stretch>
                </pic:blipFill>
                <pic:spPr>
                  <a:xfrm>
                    <a:off x="0" y="0"/>
                    <a:ext cx="7556040" cy="4451400"/>
                  </a:xfrm>
                  <a:prstGeom prst="rect">
                    <a:avLst/>
                  </a:prstGeom>
                </pic:spPr>
              </pic:pic>
            </a:graphicData>
          </a:graphic>
          <wp14:sizeRelH relativeFrom="margin">
            <wp14:pctWidth>0</wp14:pctWidth>
          </wp14:sizeRelH>
          <wp14:sizeRelV relativeFrom="margin">
            <wp14:pctHeight>0</wp14:pctHeight>
          </wp14:sizeRelV>
        </wp:anchor>
      </w:drawing>
    </w:r>
    <w:r w:rsidR="00D04665">
      <w:rPr>
        <w:noProof/>
      </w:rPr>
      <w:drawing>
        <wp:anchor distT="0" distB="0" distL="114300" distR="114300" simplePos="0" relativeHeight="251661312" behindDoc="0" locked="0" layoutInCell="1" allowOverlap="1" wp14:anchorId="7279E508" wp14:editId="79A910D9">
          <wp:simplePos x="0" y="0"/>
          <wp:positionH relativeFrom="page">
            <wp:posOffset>0</wp:posOffset>
          </wp:positionH>
          <wp:positionV relativeFrom="page">
            <wp:posOffset>360045</wp:posOffset>
          </wp:positionV>
          <wp:extent cx="7556400" cy="788760"/>
          <wp:effectExtent l="0" t="0" r="0" b="0"/>
          <wp:wrapTopAndBottom/>
          <wp:docPr id="387991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91895" name="Picture 1"/>
                  <pic:cNvPicPr/>
                </pic:nvPicPr>
                <pic:blipFill>
                  <a:blip r:embed="rId2"/>
                  <a:stretch>
                    <a:fillRect/>
                  </a:stretch>
                </pic:blipFill>
                <pic:spPr>
                  <a:xfrm>
                    <a:off x="0" y="0"/>
                    <a:ext cx="7556400" cy="7887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AF1"/>
    <w:multiLevelType w:val="hybridMultilevel"/>
    <w:tmpl w:val="867CAD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A3C62BB"/>
    <w:multiLevelType w:val="multilevel"/>
    <w:tmpl w:val="B3CE9D2A"/>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 w15:restartNumberingAfterBreak="0">
    <w:nsid w:val="0D4C5784"/>
    <w:multiLevelType w:val="multilevel"/>
    <w:tmpl w:val="5C50FB92"/>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 w15:restartNumberingAfterBreak="0">
    <w:nsid w:val="0D553A54"/>
    <w:multiLevelType w:val="hybridMultilevel"/>
    <w:tmpl w:val="D0169836"/>
    <w:lvl w:ilvl="0" w:tplc="04180001">
      <w:start w:val="1"/>
      <w:numFmt w:val="bullet"/>
      <w:lvlText w:val=""/>
      <w:lvlJc w:val="left"/>
      <w:pPr>
        <w:ind w:left="1189" w:hanging="360"/>
      </w:pPr>
      <w:rPr>
        <w:rFonts w:ascii="Symbol" w:hAnsi="Symbol" w:hint="default"/>
      </w:rPr>
    </w:lvl>
    <w:lvl w:ilvl="1" w:tplc="04180003" w:tentative="1">
      <w:start w:val="1"/>
      <w:numFmt w:val="bullet"/>
      <w:lvlText w:val="o"/>
      <w:lvlJc w:val="left"/>
      <w:pPr>
        <w:ind w:left="1909" w:hanging="360"/>
      </w:pPr>
      <w:rPr>
        <w:rFonts w:ascii="Courier New" w:hAnsi="Courier New" w:cs="Courier New" w:hint="default"/>
      </w:rPr>
    </w:lvl>
    <w:lvl w:ilvl="2" w:tplc="04180005" w:tentative="1">
      <w:start w:val="1"/>
      <w:numFmt w:val="bullet"/>
      <w:lvlText w:val=""/>
      <w:lvlJc w:val="left"/>
      <w:pPr>
        <w:ind w:left="2629" w:hanging="360"/>
      </w:pPr>
      <w:rPr>
        <w:rFonts w:ascii="Wingdings" w:hAnsi="Wingdings" w:hint="default"/>
      </w:rPr>
    </w:lvl>
    <w:lvl w:ilvl="3" w:tplc="04180001" w:tentative="1">
      <w:start w:val="1"/>
      <w:numFmt w:val="bullet"/>
      <w:lvlText w:val=""/>
      <w:lvlJc w:val="left"/>
      <w:pPr>
        <w:ind w:left="3349" w:hanging="360"/>
      </w:pPr>
      <w:rPr>
        <w:rFonts w:ascii="Symbol" w:hAnsi="Symbol" w:hint="default"/>
      </w:rPr>
    </w:lvl>
    <w:lvl w:ilvl="4" w:tplc="04180003" w:tentative="1">
      <w:start w:val="1"/>
      <w:numFmt w:val="bullet"/>
      <w:lvlText w:val="o"/>
      <w:lvlJc w:val="left"/>
      <w:pPr>
        <w:ind w:left="4069" w:hanging="360"/>
      </w:pPr>
      <w:rPr>
        <w:rFonts w:ascii="Courier New" w:hAnsi="Courier New" w:cs="Courier New" w:hint="default"/>
      </w:rPr>
    </w:lvl>
    <w:lvl w:ilvl="5" w:tplc="04180005" w:tentative="1">
      <w:start w:val="1"/>
      <w:numFmt w:val="bullet"/>
      <w:lvlText w:val=""/>
      <w:lvlJc w:val="left"/>
      <w:pPr>
        <w:ind w:left="4789" w:hanging="360"/>
      </w:pPr>
      <w:rPr>
        <w:rFonts w:ascii="Wingdings" w:hAnsi="Wingdings" w:hint="default"/>
      </w:rPr>
    </w:lvl>
    <w:lvl w:ilvl="6" w:tplc="04180001" w:tentative="1">
      <w:start w:val="1"/>
      <w:numFmt w:val="bullet"/>
      <w:lvlText w:val=""/>
      <w:lvlJc w:val="left"/>
      <w:pPr>
        <w:ind w:left="5509" w:hanging="360"/>
      </w:pPr>
      <w:rPr>
        <w:rFonts w:ascii="Symbol" w:hAnsi="Symbol" w:hint="default"/>
      </w:rPr>
    </w:lvl>
    <w:lvl w:ilvl="7" w:tplc="04180003" w:tentative="1">
      <w:start w:val="1"/>
      <w:numFmt w:val="bullet"/>
      <w:lvlText w:val="o"/>
      <w:lvlJc w:val="left"/>
      <w:pPr>
        <w:ind w:left="6229" w:hanging="360"/>
      </w:pPr>
      <w:rPr>
        <w:rFonts w:ascii="Courier New" w:hAnsi="Courier New" w:cs="Courier New" w:hint="default"/>
      </w:rPr>
    </w:lvl>
    <w:lvl w:ilvl="8" w:tplc="04180005" w:tentative="1">
      <w:start w:val="1"/>
      <w:numFmt w:val="bullet"/>
      <w:lvlText w:val=""/>
      <w:lvlJc w:val="left"/>
      <w:pPr>
        <w:ind w:left="6949" w:hanging="360"/>
      </w:pPr>
      <w:rPr>
        <w:rFonts w:ascii="Wingdings" w:hAnsi="Wingdings" w:hint="default"/>
      </w:rPr>
    </w:lvl>
  </w:abstractNum>
  <w:abstractNum w:abstractNumId="4" w15:restartNumberingAfterBreak="0">
    <w:nsid w:val="0D94292C"/>
    <w:multiLevelType w:val="multilevel"/>
    <w:tmpl w:val="4F328E60"/>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5" w15:restartNumberingAfterBreak="0">
    <w:nsid w:val="17D02F78"/>
    <w:multiLevelType w:val="multilevel"/>
    <w:tmpl w:val="B4CA6110"/>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6" w15:restartNumberingAfterBreak="0">
    <w:nsid w:val="1A3D4805"/>
    <w:multiLevelType w:val="multilevel"/>
    <w:tmpl w:val="9C586938"/>
    <w:numStyleLink w:val="Dash"/>
  </w:abstractNum>
  <w:abstractNum w:abstractNumId="7" w15:restartNumberingAfterBreak="0">
    <w:nsid w:val="1CED79C6"/>
    <w:multiLevelType w:val="multilevel"/>
    <w:tmpl w:val="CB2C0A9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8" w15:restartNumberingAfterBreak="0">
    <w:nsid w:val="1E526660"/>
    <w:multiLevelType w:val="multilevel"/>
    <w:tmpl w:val="68144B6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9" w15:restartNumberingAfterBreak="0">
    <w:nsid w:val="262816E5"/>
    <w:multiLevelType w:val="multilevel"/>
    <w:tmpl w:val="9D6E27AC"/>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10" w15:restartNumberingAfterBreak="0">
    <w:nsid w:val="2C450D63"/>
    <w:multiLevelType w:val="multilevel"/>
    <w:tmpl w:val="6FDE1BEE"/>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1" w15:restartNumberingAfterBreak="0">
    <w:nsid w:val="324E1527"/>
    <w:multiLevelType w:val="multilevel"/>
    <w:tmpl w:val="701A31B6"/>
    <w:styleLink w:val="Lettered"/>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12" w15:restartNumberingAfterBreak="0">
    <w:nsid w:val="39EA761A"/>
    <w:multiLevelType w:val="hybridMultilevel"/>
    <w:tmpl w:val="16841B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9FC4516"/>
    <w:multiLevelType w:val="multilevel"/>
    <w:tmpl w:val="276A8EAA"/>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4" w15:restartNumberingAfterBreak="0">
    <w:nsid w:val="3D900AE4"/>
    <w:multiLevelType w:val="multilevel"/>
    <w:tmpl w:val="F15E548E"/>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5" w15:restartNumberingAfterBreak="0">
    <w:nsid w:val="44FC401F"/>
    <w:multiLevelType w:val="hybridMultilevel"/>
    <w:tmpl w:val="3E686CA0"/>
    <w:lvl w:ilvl="0" w:tplc="04180001">
      <w:start w:val="1"/>
      <w:numFmt w:val="bullet"/>
      <w:lvlText w:val=""/>
      <w:lvlJc w:val="left"/>
      <w:pPr>
        <w:ind w:left="1189" w:hanging="360"/>
      </w:pPr>
      <w:rPr>
        <w:rFonts w:ascii="Symbol" w:hAnsi="Symbol" w:hint="default"/>
      </w:rPr>
    </w:lvl>
    <w:lvl w:ilvl="1" w:tplc="04180003" w:tentative="1">
      <w:start w:val="1"/>
      <w:numFmt w:val="bullet"/>
      <w:lvlText w:val="o"/>
      <w:lvlJc w:val="left"/>
      <w:pPr>
        <w:ind w:left="1909" w:hanging="360"/>
      </w:pPr>
      <w:rPr>
        <w:rFonts w:ascii="Courier New" w:hAnsi="Courier New" w:cs="Courier New" w:hint="default"/>
      </w:rPr>
    </w:lvl>
    <w:lvl w:ilvl="2" w:tplc="04180005" w:tentative="1">
      <w:start w:val="1"/>
      <w:numFmt w:val="bullet"/>
      <w:lvlText w:val=""/>
      <w:lvlJc w:val="left"/>
      <w:pPr>
        <w:ind w:left="2629" w:hanging="360"/>
      </w:pPr>
      <w:rPr>
        <w:rFonts w:ascii="Wingdings" w:hAnsi="Wingdings" w:hint="default"/>
      </w:rPr>
    </w:lvl>
    <w:lvl w:ilvl="3" w:tplc="04180001" w:tentative="1">
      <w:start w:val="1"/>
      <w:numFmt w:val="bullet"/>
      <w:lvlText w:val=""/>
      <w:lvlJc w:val="left"/>
      <w:pPr>
        <w:ind w:left="3349" w:hanging="360"/>
      </w:pPr>
      <w:rPr>
        <w:rFonts w:ascii="Symbol" w:hAnsi="Symbol" w:hint="default"/>
      </w:rPr>
    </w:lvl>
    <w:lvl w:ilvl="4" w:tplc="04180003" w:tentative="1">
      <w:start w:val="1"/>
      <w:numFmt w:val="bullet"/>
      <w:lvlText w:val="o"/>
      <w:lvlJc w:val="left"/>
      <w:pPr>
        <w:ind w:left="4069" w:hanging="360"/>
      </w:pPr>
      <w:rPr>
        <w:rFonts w:ascii="Courier New" w:hAnsi="Courier New" w:cs="Courier New" w:hint="default"/>
      </w:rPr>
    </w:lvl>
    <w:lvl w:ilvl="5" w:tplc="04180005" w:tentative="1">
      <w:start w:val="1"/>
      <w:numFmt w:val="bullet"/>
      <w:lvlText w:val=""/>
      <w:lvlJc w:val="left"/>
      <w:pPr>
        <w:ind w:left="4789" w:hanging="360"/>
      </w:pPr>
      <w:rPr>
        <w:rFonts w:ascii="Wingdings" w:hAnsi="Wingdings" w:hint="default"/>
      </w:rPr>
    </w:lvl>
    <w:lvl w:ilvl="6" w:tplc="04180001" w:tentative="1">
      <w:start w:val="1"/>
      <w:numFmt w:val="bullet"/>
      <w:lvlText w:val=""/>
      <w:lvlJc w:val="left"/>
      <w:pPr>
        <w:ind w:left="5509" w:hanging="360"/>
      </w:pPr>
      <w:rPr>
        <w:rFonts w:ascii="Symbol" w:hAnsi="Symbol" w:hint="default"/>
      </w:rPr>
    </w:lvl>
    <w:lvl w:ilvl="7" w:tplc="04180003" w:tentative="1">
      <w:start w:val="1"/>
      <w:numFmt w:val="bullet"/>
      <w:lvlText w:val="o"/>
      <w:lvlJc w:val="left"/>
      <w:pPr>
        <w:ind w:left="6229" w:hanging="360"/>
      </w:pPr>
      <w:rPr>
        <w:rFonts w:ascii="Courier New" w:hAnsi="Courier New" w:cs="Courier New" w:hint="default"/>
      </w:rPr>
    </w:lvl>
    <w:lvl w:ilvl="8" w:tplc="04180005" w:tentative="1">
      <w:start w:val="1"/>
      <w:numFmt w:val="bullet"/>
      <w:lvlText w:val=""/>
      <w:lvlJc w:val="left"/>
      <w:pPr>
        <w:ind w:left="6949" w:hanging="360"/>
      </w:pPr>
      <w:rPr>
        <w:rFonts w:ascii="Wingdings" w:hAnsi="Wingdings" w:hint="default"/>
      </w:rPr>
    </w:lvl>
  </w:abstractNum>
  <w:abstractNum w:abstractNumId="16" w15:restartNumberingAfterBreak="0">
    <w:nsid w:val="497B3CA8"/>
    <w:multiLevelType w:val="multilevel"/>
    <w:tmpl w:val="7E4ED2B8"/>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7" w15:restartNumberingAfterBreak="0">
    <w:nsid w:val="49CF40B9"/>
    <w:multiLevelType w:val="multilevel"/>
    <w:tmpl w:val="60D2B848"/>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8" w15:restartNumberingAfterBreak="0">
    <w:nsid w:val="4B5539A3"/>
    <w:multiLevelType w:val="multilevel"/>
    <w:tmpl w:val="DB2A8AC4"/>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9" w15:restartNumberingAfterBreak="0">
    <w:nsid w:val="4BEA0602"/>
    <w:multiLevelType w:val="multilevel"/>
    <w:tmpl w:val="79B8F49E"/>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0" w15:restartNumberingAfterBreak="0">
    <w:nsid w:val="4EF724EB"/>
    <w:multiLevelType w:val="hybridMultilevel"/>
    <w:tmpl w:val="F8020A2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533848AC"/>
    <w:multiLevelType w:val="multilevel"/>
    <w:tmpl w:val="455090C6"/>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2" w15:restartNumberingAfterBreak="0">
    <w:nsid w:val="55770A8F"/>
    <w:multiLevelType w:val="multilevel"/>
    <w:tmpl w:val="9C586938"/>
    <w:styleLink w:val="Dash"/>
    <w:lvl w:ilvl="0">
      <w:start w:val="1"/>
      <w:numFmt w:val="bullet"/>
      <w:lvlText w:val="-"/>
      <w:lvlJc w:val="left"/>
      <w:pPr>
        <w:tabs>
          <w:tab w:val="num" w:pos="240"/>
        </w:tabs>
        <w:ind w:left="240" w:hanging="240"/>
      </w:pPr>
      <w:rPr>
        <w:position w:val="4"/>
      </w:rPr>
    </w:lvl>
    <w:lvl w:ilv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3" w15:restartNumberingAfterBreak="0">
    <w:nsid w:val="5A1E06D8"/>
    <w:multiLevelType w:val="multilevel"/>
    <w:tmpl w:val="9976B22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4" w15:restartNumberingAfterBreak="0">
    <w:nsid w:val="5B395E49"/>
    <w:multiLevelType w:val="hybridMultilevel"/>
    <w:tmpl w:val="A48E81B2"/>
    <w:lvl w:ilvl="0" w:tplc="04180001">
      <w:start w:val="1"/>
      <w:numFmt w:val="bullet"/>
      <w:lvlText w:val=""/>
      <w:lvlJc w:val="left"/>
      <w:pPr>
        <w:ind w:left="1189" w:hanging="360"/>
      </w:pPr>
      <w:rPr>
        <w:rFonts w:ascii="Symbol" w:hAnsi="Symbol" w:hint="default"/>
      </w:rPr>
    </w:lvl>
    <w:lvl w:ilvl="1" w:tplc="04180003" w:tentative="1">
      <w:start w:val="1"/>
      <w:numFmt w:val="bullet"/>
      <w:lvlText w:val="o"/>
      <w:lvlJc w:val="left"/>
      <w:pPr>
        <w:ind w:left="1909" w:hanging="360"/>
      </w:pPr>
      <w:rPr>
        <w:rFonts w:ascii="Courier New" w:hAnsi="Courier New" w:cs="Courier New" w:hint="default"/>
      </w:rPr>
    </w:lvl>
    <w:lvl w:ilvl="2" w:tplc="04180005" w:tentative="1">
      <w:start w:val="1"/>
      <w:numFmt w:val="bullet"/>
      <w:lvlText w:val=""/>
      <w:lvlJc w:val="left"/>
      <w:pPr>
        <w:ind w:left="2629" w:hanging="360"/>
      </w:pPr>
      <w:rPr>
        <w:rFonts w:ascii="Wingdings" w:hAnsi="Wingdings" w:hint="default"/>
      </w:rPr>
    </w:lvl>
    <w:lvl w:ilvl="3" w:tplc="04180001" w:tentative="1">
      <w:start w:val="1"/>
      <w:numFmt w:val="bullet"/>
      <w:lvlText w:val=""/>
      <w:lvlJc w:val="left"/>
      <w:pPr>
        <w:ind w:left="3349" w:hanging="360"/>
      </w:pPr>
      <w:rPr>
        <w:rFonts w:ascii="Symbol" w:hAnsi="Symbol" w:hint="default"/>
      </w:rPr>
    </w:lvl>
    <w:lvl w:ilvl="4" w:tplc="04180003" w:tentative="1">
      <w:start w:val="1"/>
      <w:numFmt w:val="bullet"/>
      <w:lvlText w:val="o"/>
      <w:lvlJc w:val="left"/>
      <w:pPr>
        <w:ind w:left="4069" w:hanging="360"/>
      </w:pPr>
      <w:rPr>
        <w:rFonts w:ascii="Courier New" w:hAnsi="Courier New" w:cs="Courier New" w:hint="default"/>
      </w:rPr>
    </w:lvl>
    <w:lvl w:ilvl="5" w:tplc="04180005" w:tentative="1">
      <w:start w:val="1"/>
      <w:numFmt w:val="bullet"/>
      <w:lvlText w:val=""/>
      <w:lvlJc w:val="left"/>
      <w:pPr>
        <w:ind w:left="4789" w:hanging="360"/>
      </w:pPr>
      <w:rPr>
        <w:rFonts w:ascii="Wingdings" w:hAnsi="Wingdings" w:hint="default"/>
      </w:rPr>
    </w:lvl>
    <w:lvl w:ilvl="6" w:tplc="04180001" w:tentative="1">
      <w:start w:val="1"/>
      <w:numFmt w:val="bullet"/>
      <w:lvlText w:val=""/>
      <w:lvlJc w:val="left"/>
      <w:pPr>
        <w:ind w:left="5509" w:hanging="360"/>
      </w:pPr>
      <w:rPr>
        <w:rFonts w:ascii="Symbol" w:hAnsi="Symbol" w:hint="default"/>
      </w:rPr>
    </w:lvl>
    <w:lvl w:ilvl="7" w:tplc="04180003" w:tentative="1">
      <w:start w:val="1"/>
      <w:numFmt w:val="bullet"/>
      <w:lvlText w:val="o"/>
      <w:lvlJc w:val="left"/>
      <w:pPr>
        <w:ind w:left="6229" w:hanging="360"/>
      </w:pPr>
      <w:rPr>
        <w:rFonts w:ascii="Courier New" w:hAnsi="Courier New" w:cs="Courier New" w:hint="default"/>
      </w:rPr>
    </w:lvl>
    <w:lvl w:ilvl="8" w:tplc="04180005" w:tentative="1">
      <w:start w:val="1"/>
      <w:numFmt w:val="bullet"/>
      <w:lvlText w:val=""/>
      <w:lvlJc w:val="left"/>
      <w:pPr>
        <w:ind w:left="6949" w:hanging="360"/>
      </w:pPr>
      <w:rPr>
        <w:rFonts w:ascii="Wingdings" w:hAnsi="Wingdings" w:hint="default"/>
      </w:rPr>
    </w:lvl>
  </w:abstractNum>
  <w:abstractNum w:abstractNumId="25" w15:restartNumberingAfterBreak="0">
    <w:nsid w:val="5E9077AF"/>
    <w:multiLevelType w:val="multilevel"/>
    <w:tmpl w:val="6DE4203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6" w15:restartNumberingAfterBreak="0">
    <w:nsid w:val="61553CC9"/>
    <w:multiLevelType w:val="multilevel"/>
    <w:tmpl w:val="36CA4576"/>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rFonts w:ascii="Symbol" w:hAnsi="Symbol" w:hint="default"/>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7" w15:restartNumberingAfterBreak="0">
    <w:nsid w:val="64377003"/>
    <w:multiLevelType w:val="multilevel"/>
    <w:tmpl w:val="D44013E2"/>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8" w15:restartNumberingAfterBreak="0">
    <w:nsid w:val="655D6766"/>
    <w:multiLevelType w:val="multilevel"/>
    <w:tmpl w:val="E9C83C52"/>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rFonts w:ascii="Symbol" w:hAnsi="Symbol" w:hint="default"/>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9" w15:restartNumberingAfterBreak="0">
    <w:nsid w:val="6D912E2A"/>
    <w:multiLevelType w:val="multilevel"/>
    <w:tmpl w:val="610222D6"/>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0" w15:restartNumberingAfterBreak="0">
    <w:nsid w:val="711449A2"/>
    <w:multiLevelType w:val="multilevel"/>
    <w:tmpl w:val="276A8EAA"/>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1" w15:restartNumberingAfterBreak="0">
    <w:nsid w:val="794E03DD"/>
    <w:multiLevelType w:val="multilevel"/>
    <w:tmpl w:val="A43E5326"/>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2" w15:restartNumberingAfterBreak="0">
    <w:nsid w:val="79A45A74"/>
    <w:multiLevelType w:val="multilevel"/>
    <w:tmpl w:val="9586C448"/>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3" w15:restartNumberingAfterBreak="0">
    <w:nsid w:val="7CE8134E"/>
    <w:multiLevelType w:val="multilevel"/>
    <w:tmpl w:val="8C4CC18C"/>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num w:numId="1" w16cid:durableId="1756855473">
    <w:abstractNumId w:val="9"/>
  </w:num>
  <w:num w:numId="2" w16cid:durableId="1983264879">
    <w:abstractNumId w:val="11"/>
  </w:num>
  <w:num w:numId="3" w16cid:durableId="1809088349">
    <w:abstractNumId w:val="18"/>
  </w:num>
  <w:num w:numId="4" w16cid:durableId="794106578">
    <w:abstractNumId w:val="31"/>
  </w:num>
  <w:num w:numId="5" w16cid:durableId="1420562895">
    <w:abstractNumId w:val="5"/>
  </w:num>
  <w:num w:numId="6" w16cid:durableId="847212717">
    <w:abstractNumId w:val="1"/>
  </w:num>
  <w:num w:numId="7" w16cid:durableId="1159229874">
    <w:abstractNumId w:val="33"/>
  </w:num>
  <w:num w:numId="8" w16cid:durableId="511995452">
    <w:abstractNumId w:val="27"/>
  </w:num>
  <w:num w:numId="9" w16cid:durableId="1451824295">
    <w:abstractNumId w:val="2"/>
  </w:num>
  <w:num w:numId="10" w16cid:durableId="1093552279">
    <w:abstractNumId w:val="19"/>
  </w:num>
  <w:num w:numId="11" w16cid:durableId="1322152304">
    <w:abstractNumId w:val="4"/>
  </w:num>
  <w:num w:numId="12" w16cid:durableId="1217861976">
    <w:abstractNumId w:val="14"/>
  </w:num>
  <w:num w:numId="13" w16cid:durableId="874077232">
    <w:abstractNumId w:val="7"/>
  </w:num>
  <w:num w:numId="14" w16cid:durableId="1024357991">
    <w:abstractNumId w:val="8"/>
  </w:num>
  <w:num w:numId="15" w16cid:durableId="764615168">
    <w:abstractNumId w:val="25"/>
  </w:num>
  <w:num w:numId="16" w16cid:durableId="2026516905">
    <w:abstractNumId w:val="29"/>
  </w:num>
  <w:num w:numId="17" w16cid:durableId="339552066">
    <w:abstractNumId w:val="23"/>
  </w:num>
  <w:num w:numId="18" w16cid:durableId="1415396891">
    <w:abstractNumId w:val="21"/>
  </w:num>
  <w:num w:numId="19" w16cid:durableId="346639202">
    <w:abstractNumId w:val="16"/>
  </w:num>
  <w:num w:numId="20" w16cid:durableId="627589130">
    <w:abstractNumId w:val="17"/>
  </w:num>
  <w:num w:numId="21" w16cid:durableId="1251885385">
    <w:abstractNumId w:val="10"/>
  </w:num>
  <w:num w:numId="22" w16cid:durableId="175966201">
    <w:abstractNumId w:val="32"/>
  </w:num>
  <w:num w:numId="23" w16cid:durableId="2086101514">
    <w:abstractNumId w:val="22"/>
  </w:num>
  <w:num w:numId="24" w16cid:durableId="1637762502">
    <w:abstractNumId w:val="3"/>
  </w:num>
  <w:num w:numId="25" w16cid:durableId="1433672987">
    <w:abstractNumId w:val="24"/>
  </w:num>
  <w:num w:numId="26" w16cid:durableId="486819893">
    <w:abstractNumId w:val="12"/>
  </w:num>
  <w:num w:numId="27" w16cid:durableId="327829683">
    <w:abstractNumId w:val="15"/>
  </w:num>
  <w:num w:numId="28" w16cid:durableId="861357765">
    <w:abstractNumId w:val="20"/>
  </w:num>
  <w:num w:numId="29" w16cid:durableId="700857411">
    <w:abstractNumId w:val="0"/>
  </w:num>
  <w:num w:numId="30" w16cid:durableId="73404794">
    <w:abstractNumId w:val="6"/>
  </w:num>
  <w:num w:numId="31" w16cid:durableId="1832603564">
    <w:abstractNumId w:val="30"/>
  </w:num>
  <w:num w:numId="32" w16cid:durableId="1929969849">
    <w:abstractNumId w:val="13"/>
  </w:num>
  <w:num w:numId="33" w16cid:durableId="147869145">
    <w:abstractNumId w:val="26"/>
  </w:num>
  <w:num w:numId="34" w16cid:durableId="64246828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A61"/>
    <w:rsid w:val="00096027"/>
    <w:rsid w:val="000E26CA"/>
    <w:rsid w:val="001009DC"/>
    <w:rsid w:val="00137053"/>
    <w:rsid w:val="001B7E24"/>
    <w:rsid w:val="001C4C24"/>
    <w:rsid w:val="001F6C07"/>
    <w:rsid w:val="00236F15"/>
    <w:rsid w:val="00250227"/>
    <w:rsid w:val="00272F11"/>
    <w:rsid w:val="00280CFB"/>
    <w:rsid w:val="002B2BDE"/>
    <w:rsid w:val="002B4247"/>
    <w:rsid w:val="00355C80"/>
    <w:rsid w:val="003933AB"/>
    <w:rsid w:val="00397A61"/>
    <w:rsid w:val="004130DC"/>
    <w:rsid w:val="004225BE"/>
    <w:rsid w:val="00442556"/>
    <w:rsid w:val="004A52A9"/>
    <w:rsid w:val="004C582C"/>
    <w:rsid w:val="00543F00"/>
    <w:rsid w:val="005C0EF1"/>
    <w:rsid w:val="00672E53"/>
    <w:rsid w:val="0069635D"/>
    <w:rsid w:val="006F7DCD"/>
    <w:rsid w:val="007C02BC"/>
    <w:rsid w:val="007E3F5D"/>
    <w:rsid w:val="00814BCD"/>
    <w:rsid w:val="00867616"/>
    <w:rsid w:val="008D57EF"/>
    <w:rsid w:val="00957975"/>
    <w:rsid w:val="00971C3F"/>
    <w:rsid w:val="00994504"/>
    <w:rsid w:val="009A4BA1"/>
    <w:rsid w:val="009F1CFC"/>
    <w:rsid w:val="00A51141"/>
    <w:rsid w:val="00A70346"/>
    <w:rsid w:val="00AB4F2A"/>
    <w:rsid w:val="00AC6E18"/>
    <w:rsid w:val="00AE6D3E"/>
    <w:rsid w:val="00B11203"/>
    <w:rsid w:val="00B36540"/>
    <w:rsid w:val="00B73A0F"/>
    <w:rsid w:val="00BB2086"/>
    <w:rsid w:val="00C635F3"/>
    <w:rsid w:val="00C7598A"/>
    <w:rsid w:val="00D04665"/>
    <w:rsid w:val="00DD1057"/>
    <w:rsid w:val="00DE6DE5"/>
    <w:rsid w:val="00E01032"/>
    <w:rsid w:val="00E870C6"/>
    <w:rsid w:val="00E96804"/>
    <w:rsid w:val="00EC7840"/>
    <w:rsid w:val="00F61259"/>
    <w:rsid w:val="00F84907"/>
    <w:rsid w:val="00FF0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707EA"/>
  <w15:docId w15:val="{AE8BA0B7-7B17-4A7A-8E45-25DA1560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97A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97A61"/>
    <w:rPr>
      <w:u w:val="single"/>
    </w:rPr>
  </w:style>
  <w:style w:type="paragraph" w:customStyle="1" w:styleId="Body">
    <w:name w:val="Body"/>
    <w:rsid w:val="00397A61"/>
    <w:rPr>
      <w:rFonts w:ascii="Helvetica" w:hAnsi="Arial Unicode MS" w:cs="Arial Unicode MS"/>
      <w:color w:val="000000"/>
      <w:sz w:val="22"/>
      <w:szCs w:val="22"/>
    </w:rPr>
  </w:style>
  <w:style w:type="numbering" w:customStyle="1" w:styleId="Lettered">
    <w:name w:val="Lettered"/>
    <w:rsid w:val="00397A61"/>
    <w:pPr>
      <w:numPr>
        <w:numId w:val="2"/>
      </w:numPr>
    </w:pPr>
  </w:style>
  <w:style w:type="numbering" w:customStyle="1" w:styleId="Dash">
    <w:name w:val="Dash"/>
    <w:rsid w:val="00397A61"/>
    <w:pPr>
      <w:numPr>
        <w:numId w:val="23"/>
      </w:numPr>
    </w:pPr>
  </w:style>
  <w:style w:type="paragraph" w:styleId="Header">
    <w:name w:val="header"/>
    <w:basedOn w:val="Normal"/>
    <w:link w:val="HeaderChar"/>
    <w:uiPriority w:val="99"/>
    <w:unhideWhenUsed/>
    <w:rsid w:val="00E96804"/>
    <w:pPr>
      <w:tabs>
        <w:tab w:val="center" w:pos="4680"/>
        <w:tab w:val="right" w:pos="9360"/>
      </w:tabs>
    </w:pPr>
  </w:style>
  <w:style w:type="character" w:customStyle="1" w:styleId="HeaderChar">
    <w:name w:val="Header Char"/>
    <w:basedOn w:val="DefaultParagraphFont"/>
    <w:link w:val="Header"/>
    <w:uiPriority w:val="99"/>
    <w:rsid w:val="00E96804"/>
    <w:rPr>
      <w:sz w:val="24"/>
      <w:szCs w:val="24"/>
    </w:rPr>
  </w:style>
  <w:style w:type="paragraph" w:styleId="Footer">
    <w:name w:val="footer"/>
    <w:basedOn w:val="Normal"/>
    <w:link w:val="FooterChar"/>
    <w:uiPriority w:val="99"/>
    <w:unhideWhenUsed/>
    <w:rsid w:val="00E96804"/>
    <w:pPr>
      <w:tabs>
        <w:tab w:val="center" w:pos="4680"/>
        <w:tab w:val="right" w:pos="9360"/>
      </w:tabs>
    </w:pPr>
  </w:style>
  <w:style w:type="character" w:customStyle="1" w:styleId="FooterChar">
    <w:name w:val="Footer Char"/>
    <w:basedOn w:val="DefaultParagraphFont"/>
    <w:link w:val="Footer"/>
    <w:uiPriority w:val="99"/>
    <w:rsid w:val="00E96804"/>
    <w:rPr>
      <w:sz w:val="24"/>
      <w:szCs w:val="24"/>
    </w:rPr>
  </w:style>
  <w:style w:type="paragraph" w:styleId="BalloonText">
    <w:name w:val="Balloon Text"/>
    <w:basedOn w:val="Normal"/>
    <w:link w:val="BalloonTextChar"/>
    <w:uiPriority w:val="99"/>
    <w:semiHidden/>
    <w:unhideWhenUsed/>
    <w:rsid w:val="00E96804"/>
    <w:rPr>
      <w:rFonts w:ascii="Tahoma" w:hAnsi="Tahoma" w:cs="Tahoma"/>
      <w:sz w:val="16"/>
      <w:szCs w:val="16"/>
    </w:rPr>
  </w:style>
  <w:style w:type="character" w:customStyle="1" w:styleId="BalloonTextChar">
    <w:name w:val="Balloon Text Char"/>
    <w:basedOn w:val="DefaultParagraphFont"/>
    <w:link w:val="BalloonText"/>
    <w:uiPriority w:val="99"/>
    <w:semiHidden/>
    <w:rsid w:val="00E968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528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Flavia</dc:creator>
  <cp:lastModifiedBy>steluta crisan</cp:lastModifiedBy>
  <cp:revision>6</cp:revision>
  <dcterms:created xsi:type="dcterms:W3CDTF">2026-07-21T11:22:00Z</dcterms:created>
  <dcterms:modified xsi:type="dcterms:W3CDTF">2026-07-21T15:15:00Z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2023-04-07T15:50:12Z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669bf9fa-a943-4e59-82c4-9b1fce62ee23</vt:lpwstr>
  </property>
  <property fmtid="{D5CDD505-2E9C-101B-9397-08002B2CF9AE}" pid="8" name="MSIP_Label_5b58b62f-6f94-46bd-8089-18e64b0a9abb_ContentBits">
    <vt:lpwstr>0</vt:lpwstr>
  </property>
</Properties>
</file>